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BE" w:rsidRDefault="00BC56BE" w:rsidP="00BC56BE">
      <w:pPr>
        <w:pStyle w:val="Heading1"/>
        <w:jc w:val="center"/>
        <w:rPr>
          <w:rFonts w:ascii="Times New Roman" w:hAnsi="Times New Roman" w:cs="B Nazanin"/>
          <w:b w:val="0"/>
          <w:sz w:val="24"/>
        </w:rPr>
      </w:pPr>
      <w:r>
        <w:rPr>
          <w:rFonts w:ascii="Times New Roman" w:hAnsi="Times New Roman" w:cs="B Nazanin" w:hint="cs"/>
          <w:b w:val="0"/>
          <w:sz w:val="24"/>
          <w:rtl/>
        </w:rPr>
        <w:t>ژئوشیمی ایزوتوپ پایدار کانسارهای معدنی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13.3.1 مقدمه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13.3.2 جنبه‌های اساسی ژئوشیمی ایزوتوپ پایدار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13.3.3 سیستماتیک ایزوتوپ پایدار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13.3.3.1 نماد دلتا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13.3.3.2 معادلات کسری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13.3.3.3 تاثیر ذخایر و محاسبات موازنه جرم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13.3.3.4 نسبت آب به سنگ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13.3.4 روش‌های تحلیلی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 انواع کانسار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13.3.5.1 کانسارهای سولفیدی ماگمایی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1"/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و کانسارهای عناصر گروه پلاتین (</w:t>
      </w:r>
      <w:r>
        <w:rPr>
          <w:rFonts w:ascii="Times New Roman" w:hAnsi="Times New Roman"/>
          <w:sz w:val="24"/>
          <w:szCs w:val="24"/>
          <w:lang w:bidi="fa-IR"/>
        </w:rPr>
        <w:t>PGE</w:t>
      </w:r>
      <w:r>
        <w:rPr>
          <w:rFonts w:ascii="Times New Roman" w:hAnsi="Times New Roman" w:hint="cs"/>
          <w:sz w:val="24"/>
          <w:szCs w:val="28"/>
          <w:rtl/>
          <w:lang w:bidi="fa-IR"/>
        </w:rPr>
        <w:t>)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2"/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13.3.5.2 کانسارهای سنگ آذرین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3"/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13.3.5.3 کانسارهلی اسکارن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4"/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13.3.5.4 کانسارهای سولفید توده‌ای آتشفشانی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13.3.5.5 کانسارهای رسوبی- متصاعدی و کانسارهای دره می سی سی پی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13.3.5.6 کانسارهای فلزی باارزش: کانسارهای نوع اپی‌ترمال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5"/>
      </w:r>
      <w:r>
        <w:rPr>
          <w:rFonts w:ascii="Times New Roman" w:hAnsi="Times New Roman" w:hint="cs"/>
          <w:sz w:val="24"/>
          <w:szCs w:val="28"/>
          <w:rtl/>
          <w:lang w:bidi="fa-IR"/>
        </w:rPr>
        <w:t>، کارلین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6"/>
      </w:r>
      <w:r>
        <w:rPr>
          <w:rFonts w:ascii="Times New Roman" w:hAnsi="Times New Roman" w:hint="cs"/>
          <w:sz w:val="24"/>
          <w:szCs w:val="28"/>
          <w:rtl/>
          <w:lang w:bidi="fa-IR"/>
        </w:rPr>
        <w:t>، و کانسار‌های طلای نوع کوهزایی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13.3.5.7 سازندهای آهن نواری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13.3.6 خلاصه و نتیجه‌گیری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سپاسگذاری</w:t>
      </w:r>
    </w:p>
    <w:p w:rsidR="00BC56BE" w:rsidRDefault="00BC56BE" w:rsidP="00BC56BE">
      <w:pPr>
        <w:bidi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lastRenderedPageBreak/>
        <w:t>منابع</w:t>
      </w:r>
    </w:p>
    <w:p w:rsidR="00BC56BE" w:rsidRDefault="00BC56BE" w:rsidP="00BC56BE">
      <w:pPr>
        <w:bidi/>
        <w:rPr>
          <w:rFonts w:ascii="Times New Roman" w:hAnsi="Times New Roman" w:hint="cs"/>
          <w:bCs/>
          <w:sz w:val="24"/>
          <w:szCs w:val="28"/>
          <w:rtl/>
          <w:lang w:bidi="fa-IR"/>
        </w:rPr>
      </w:pPr>
      <w:r>
        <w:rPr>
          <w:rFonts w:ascii="Times New Roman" w:hAnsi="Times New Roman" w:hint="cs"/>
          <w:bCs/>
          <w:sz w:val="24"/>
          <w:szCs w:val="28"/>
          <w:rtl/>
          <w:lang w:bidi="fa-IR"/>
        </w:rPr>
        <w:t>13.3.1 مقدمه</w:t>
      </w:r>
    </w:p>
    <w:p w:rsidR="00BC56BE" w:rsidRDefault="00BC56BE" w:rsidP="00BC56BE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ایزوتوپ‌ها فلزی توجهات کمی را به سمت خود جلب کرده‌اند زیرا دانش دوران قدیم این استدلال را داشت که تجزیه و تفکیک این ایزوتوپ‌ها بسیار سخت است. اغلب موارد این بحث مطرح می‌شود که دانش سنتی، حقایق پیچیده‌تر را نادیده گرفته است (آنبار و روکسل 2007)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7"/>
      </w:r>
      <w:r>
        <w:rPr>
          <w:rFonts w:ascii="Times New Roman" w:hAnsi="Times New Roman" w:hint="cs"/>
          <w:sz w:val="24"/>
          <w:szCs w:val="28"/>
          <w:rtl/>
          <w:lang w:bidi="fa-IR"/>
        </w:rPr>
        <w:t>.</w:t>
      </w:r>
    </w:p>
    <w:p w:rsidR="00BC56BE" w:rsidRDefault="00BC56BE" w:rsidP="00BC56BE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مطالعات ایزوتوپ‌های پایدار که از ایزوتوپ‌های هیدروژن (</w:t>
      </w:r>
      <w:r>
        <w:rPr>
          <w:rFonts w:ascii="Times New Roman" w:hAnsi="Times New Roman"/>
          <w:sz w:val="24"/>
          <w:szCs w:val="24"/>
          <w:lang w:bidi="fa-IR"/>
        </w:rPr>
        <w:t>H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لیتیوم (</w:t>
      </w:r>
      <w:r>
        <w:rPr>
          <w:rFonts w:ascii="Times New Roman" w:hAnsi="Times New Roman"/>
          <w:sz w:val="24"/>
          <w:szCs w:val="24"/>
          <w:lang w:bidi="fa-IR"/>
        </w:rPr>
        <w:t>Li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بور (</w:t>
      </w:r>
      <w:r>
        <w:rPr>
          <w:rFonts w:ascii="Times New Roman" w:hAnsi="Times New Roman"/>
          <w:sz w:val="24"/>
          <w:szCs w:val="24"/>
          <w:lang w:bidi="fa-IR"/>
        </w:rPr>
        <w:t>B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کربن (</w:t>
      </w:r>
      <w:r>
        <w:rPr>
          <w:rFonts w:ascii="Times New Roman" w:hAnsi="Times New Roman"/>
          <w:sz w:val="24"/>
          <w:szCs w:val="24"/>
          <w:lang w:bidi="fa-IR"/>
        </w:rPr>
        <w:t>C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نیتروژن (</w:t>
      </w:r>
      <w:r>
        <w:rPr>
          <w:rFonts w:ascii="Times New Roman" w:hAnsi="Times New Roman"/>
          <w:sz w:val="24"/>
          <w:szCs w:val="24"/>
          <w:lang w:bidi="fa-IR"/>
        </w:rPr>
        <w:t>N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اکسیژن (</w:t>
      </w:r>
      <w:r>
        <w:rPr>
          <w:rFonts w:ascii="Times New Roman" w:hAnsi="Times New Roman"/>
          <w:sz w:val="24"/>
          <w:szCs w:val="24"/>
          <w:lang w:bidi="fa-IR"/>
        </w:rPr>
        <w:t>O</w:t>
      </w:r>
      <w:r>
        <w:rPr>
          <w:rFonts w:ascii="Times New Roman" w:hAnsi="Times New Roman" w:hint="cs"/>
          <w:sz w:val="24"/>
          <w:szCs w:val="28"/>
          <w:rtl/>
          <w:lang w:bidi="fa-IR"/>
        </w:rPr>
        <w:t>) و گوگرد (</w:t>
      </w:r>
      <w:r>
        <w:rPr>
          <w:rFonts w:ascii="Times New Roman" w:hAnsi="Times New Roman"/>
          <w:sz w:val="24"/>
          <w:szCs w:val="24"/>
          <w:lang w:bidi="fa-IR"/>
        </w:rPr>
        <w:t>S</w:t>
      </w:r>
      <w:r>
        <w:rPr>
          <w:rFonts w:ascii="Times New Roman" w:hAnsi="Times New Roman" w:hint="cs"/>
          <w:sz w:val="24"/>
          <w:szCs w:val="28"/>
          <w:rtl/>
          <w:lang w:bidi="fa-IR"/>
        </w:rPr>
        <w:t>) استفاده می‌کند شامل حوره کاملی است که نقش مهمی در افزایش درک سازوکارهای کانی‌سازی ایفا می‌کند. به علاوه پیشرفت‌های فناوری و نظری جدید از  سال 1995 منجر به تحولات قابل‌توجهی در ژئوشیمی ایزوتوپ پایدار شده است. این تحولات تمرکز خود را روی عناصر ایزوتوپی غیرمتعارف همچون منیزیم (</w:t>
      </w:r>
      <w:r>
        <w:rPr>
          <w:rFonts w:ascii="Times New Roman" w:hAnsi="Times New Roman"/>
          <w:sz w:val="24"/>
          <w:szCs w:val="24"/>
          <w:lang w:bidi="fa-IR"/>
        </w:rPr>
        <w:t>Mg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کلر (</w:t>
      </w:r>
      <w:r>
        <w:rPr>
          <w:rFonts w:ascii="Times New Roman" w:hAnsi="Times New Roman"/>
          <w:sz w:val="24"/>
          <w:szCs w:val="24"/>
          <w:lang w:bidi="fa-IR"/>
        </w:rPr>
        <w:t>Cl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کلسیم (</w:t>
      </w:r>
      <w:r>
        <w:rPr>
          <w:rFonts w:ascii="Times New Roman" w:hAnsi="Times New Roman"/>
          <w:sz w:val="24"/>
          <w:szCs w:val="24"/>
          <w:lang w:bidi="fa-IR"/>
        </w:rPr>
        <w:t>Ca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کروم (</w:t>
      </w:r>
      <w:r>
        <w:rPr>
          <w:rFonts w:ascii="Times New Roman" w:hAnsi="Times New Roman"/>
          <w:sz w:val="24"/>
          <w:szCs w:val="24"/>
          <w:lang w:bidi="fa-IR"/>
        </w:rPr>
        <w:t>Cr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آهن (</w:t>
      </w:r>
      <w:r>
        <w:rPr>
          <w:rFonts w:ascii="Times New Roman" w:hAnsi="Times New Roman"/>
          <w:sz w:val="24"/>
          <w:szCs w:val="24"/>
          <w:lang w:bidi="fa-IR"/>
        </w:rPr>
        <w:t>Fe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مس (</w:t>
      </w:r>
      <w:r>
        <w:rPr>
          <w:rFonts w:ascii="Times New Roman" w:hAnsi="Times New Roman"/>
          <w:sz w:val="24"/>
          <w:szCs w:val="24"/>
          <w:lang w:bidi="fa-IR"/>
        </w:rPr>
        <w:t>Cu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روی (</w:t>
      </w:r>
      <w:r>
        <w:rPr>
          <w:rFonts w:ascii="Times New Roman" w:hAnsi="Times New Roman"/>
          <w:sz w:val="24"/>
          <w:szCs w:val="24"/>
          <w:lang w:bidi="fa-IR"/>
        </w:rPr>
        <w:t>Zn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سلنیم (</w:t>
      </w:r>
      <w:r>
        <w:rPr>
          <w:rFonts w:ascii="Times New Roman" w:hAnsi="Times New Roman"/>
          <w:sz w:val="24"/>
          <w:szCs w:val="24"/>
          <w:lang w:bidi="fa-IR"/>
        </w:rPr>
        <w:t>Se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مولیبدن (</w:t>
      </w:r>
      <w:r>
        <w:rPr>
          <w:rFonts w:ascii="Times New Roman" w:hAnsi="Times New Roman"/>
          <w:sz w:val="24"/>
          <w:szCs w:val="24"/>
          <w:lang w:bidi="fa-IR"/>
        </w:rPr>
        <w:t>Mo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کادمیم (</w:t>
      </w:r>
      <w:r>
        <w:rPr>
          <w:rFonts w:ascii="Times New Roman" w:hAnsi="Times New Roman"/>
          <w:sz w:val="24"/>
          <w:szCs w:val="24"/>
          <w:lang w:bidi="fa-IR"/>
        </w:rPr>
        <w:t>Cd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تنگستن (</w:t>
      </w:r>
      <w:r>
        <w:rPr>
          <w:rFonts w:ascii="Times New Roman" w:hAnsi="Times New Roman"/>
          <w:sz w:val="24"/>
          <w:szCs w:val="24"/>
          <w:lang w:bidi="fa-IR"/>
        </w:rPr>
        <w:t>w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جیوه (</w:t>
      </w:r>
      <w:r>
        <w:rPr>
          <w:rFonts w:ascii="Times New Roman" w:hAnsi="Times New Roman"/>
          <w:sz w:val="24"/>
          <w:szCs w:val="24"/>
          <w:lang w:bidi="fa-IR"/>
        </w:rPr>
        <w:t>Hg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و تالیم (</w:t>
      </w:r>
      <w:r>
        <w:rPr>
          <w:rFonts w:ascii="Times New Roman" w:hAnsi="Times New Roman"/>
          <w:sz w:val="24"/>
          <w:szCs w:val="24"/>
          <w:lang w:bidi="fa-IR"/>
        </w:rPr>
        <w:t>Tl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) قرار داده است (جانسون و همکاران، </w:t>
      </w:r>
      <w:r>
        <w:rPr>
          <w:rFonts w:ascii="Times New Roman" w:hAnsi="Times New Roman"/>
          <w:sz w:val="24"/>
          <w:szCs w:val="28"/>
          <w:lang w:bidi="fa-IR"/>
        </w:rPr>
        <w:t xml:space="preserve"> </w:t>
      </w:r>
      <w:r>
        <w:rPr>
          <w:rFonts w:ascii="Times New Roman" w:hAnsi="Times New Roman"/>
          <w:sz w:val="24"/>
          <w:szCs w:val="24"/>
          <w:lang w:bidi="fa-IR"/>
        </w:rPr>
        <w:t>2004a</w:t>
      </w:r>
      <w:r>
        <w:rPr>
          <w:rFonts w:ascii="Times New Roman" w:hAnsi="Times New Roman" w:hint="cs"/>
          <w:sz w:val="24"/>
          <w:szCs w:val="28"/>
          <w:rtl/>
          <w:lang w:bidi="fa-IR"/>
        </w:rPr>
        <w:t>).</w:t>
      </w:r>
    </w:p>
    <w:p w:rsidR="00BC56BE" w:rsidRDefault="00BC56BE" w:rsidP="00BC56BE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نوظهور سیستم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جدید ایزوتوپ پایدار، ابزارهای قدرتمند جدیدی را برای ارزیابی منشا عوامل و تفکیک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در بسیاری از فرایندهای ژئوشیمی و بیوژئوشیمی معرفی کرده است. افزودن بسیاری از نسبت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 ایزوتوپ</w:t>
      </w:r>
      <w:r>
        <w:rPr>
          <w:rFonts w:ascii="Calibri" w:hAnsi="Calibri" w:hint="cs"/>
          <w:sz w:val="24"/>
          <w:szCs w:val="28"/>
          <w:rtl/>
          <w:lang w:bidi="fa-IR"/>
        </w:rPr>
        <w:t>‌‌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فلزی و نیمه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فلزی به مجموعه ابزارهای پژوهشگران، مشخصا برای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مربوط به کانسارهای معدنی حائز اهمیت است. حوزه ایزوتوپ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پایدار غیرمتعارف تا حد زیادی تحت تاثیر پیشرفت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تحلیلی جدید، بویژه طیف‌سنجی</w:t>
      </w:r>
      <w:r>
        <w:rPr>
          <w:rFonts w:ascii="Cambria" w:hAnsi="Cambria" w:cs="Times New Roman"/>
          <w:sz w:val="24"/>
          <w:szCs w:val="28"/>
          <w:rtl/>
          <w:lang w:bidi="fa-IR"/>
        </w:rPr>
        <w:t> </w:t>
      </w:r>
      <w:r>
        <w:rPr>
          <w:rFonts w:ascii="Times New Roman" w:hAnsi="Times New Roman" w:hint="cs"/>
          <w:sz w:val="24"/>
          <w:szCs w:val="28"/>
          <w:rtl/>
          <w:lang w:bidi="fa-IR"/>
        </w:rPr>
        <w:t>پلاسمای</w:t>
      </w:r>
      <w:r>
        <w:rPr>
          <w:rFonts w:ascii="Cambria" w:hAnsi="Cambria" w:cs="Times New Roman"/>
          <w:sz w:val="24"/>
          <w:szCs w:val="28"/>
          <w:rtl/>
          <w:lang w:bidi="fa-IR"/>
        </w:rPr>
        <w:t> </w:t>
      </w:r>
      <w:r>
        <w:rPr>
          <w:rFonts w:ascii="Times New Roman" w:hAnsi="Times New Roman" w:hint="cs"/>
          <w:sz w:val="24"/>
          <w:szCs w:val="28"/>
          <w:rtl/>
          <w:lang w:bidi="fa-IR"/>
        </w:rPr>
        <w:t>جفت‌شده القایی</w:t>
      </w:r>
      <w:r>
        <w:rPr>
          <w:rFonts w:ascii="Cambria" w:hAnsi="Cambria" w:cs="Times New Roman"/>
          <w:sz w:val="24"/>
          <w:szCs w:val="28"/>
          <w:rtl/>
          <w:lang w:bidi="fa-IR"/>
        </w:rPr>
        <w:t> 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چند کلکتوری (</w:t>
      </w:r>
      <w:r>
        <w:rPr>
          <w:rFonts w:ascii="Times New Roman" w:hAnsi="Times New Roman"/>
          <w:sz w:val="24"/>
          <w:szCs w:val="28"/>
          <w:lang w:bidi="fa-IR"/>
        </w:rPr>
        <w:t>MC-ICP-MS</w:t>
      </w:r>
      <w:r>
        <w:rPr>
          <w:rFonts w:ascii="Times New Roman" w:hAnsi="Times New Roman" w:hint="cs"/>
          <w:sz w:val="24"/>
          <w:szCs w:val="28"/>
          <w:rtl/>
          <w:lang w:bidi="fa-IR"/>
        </w:rPr>
        <w:t>)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8"/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است (البارید و همکاران، 2004)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9"/>
      </w:r>
      <w:r>
        <w:rPr>
          <w:rFonts w:ascii="Times New Roman" w:hAnsi="Times New Roman" w:hint="cs"/>
          <w:sz w:val="24"/>
          <w:szCs w:val="28"/>
          <w:rtl/>
          <w:lang w:bidi="fa-IR"/>
        </w:rPr>
        <w:t>.</w:t>
      </w:r>
    </w:p>
    <w:p w:rsidR="00BC56BE" w:rsidRDefault="00BC56BE" w:rsidP="00BC56BE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به موجب روش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علمی نوظهور اخیر، حوزه ایزوتوپ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پایدار غیرمتعارف پر از فرصت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و چالش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هاست. در چندین مورد،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میدانی و تحلیلی که از ایزوتوپ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غیرمتعارف استفاده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کند در حال حاضر از مبانی تجربی و نظری از لحاظ تفسیر دقیق و به منظور درک کامل پتانسیل این روش، رو به جلو حرکت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کند. تفسیر موردی نتایج در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منتشر شده و با توجه به توضیحات احتمالی تغییرات در داده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های طبیعی که منتسب به فرایندهایی همچون تاثیرات جنبشی ایزوتوپ یا روش جزء به جزء متابولیک است، گسترده است حتی اگر این تاثیرات صریحا به اثبات نشده باشند. </w:t>
      </w:r>
    </w:p>
    <w:p w:rsidR="00BC56BE" w:rsidRDefault="00BC56BE" w:rsidP="00BC56BE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در این فصل، هدف این است که به خلاصه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سازی نتایج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ایزوتوپ پایدار متعارف (به ویژه ایزوتوپ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هیدروژن، بور، اکسیژن، کربن و گوگرد) بپردازیم که تا حد زیادی نقشی در درک فرایندهای شکل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گیری </w:t>
      </w:r>
      <w:r>
        <w:rPr>
          <w:rFonts w:ascii="Times New Roman" w:hAnsi="Times New Roman" w:hint="cs"/>
          <w:sz w:val="24"/>
          <w:szCs w:val="28"/>
          <w:rtl/>
          <w:lang w:bidi="fa-IR"/>
        </w:rPr>
        <w:lastRenderedPageBreak/>
        <w:t>کانسار طی 60 سال گذشته داشته (هاستون 1999؛ اوموتو 1986؛ اوموتو و گولدهابر 1997؛ سیل 2006؛ شاکس 2001؛ اسلک و ترامبال 2011؛ تیلور 1997؛ توماس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کاک 2004)</w:t>
      </w:r>
      <w:r>
        <w:rPr>
          <w:rStyle w:val="FootnoteReference"/>
          <w:rFonts w:ascii="Times New Roman" w:hAnsi="Times New Roman"/>
          <w:sz w:val="24"/>
          <w:szCs w:val="28"/>
          <w:rtl/>
          <w:lang w:bidi="fa-IR"/>
        </w:rPr>
        <w:footnoteReference w:id="10"/>
      </w:r>
      <w:r>
        <w:rPr>
          <w:rFonts w:ascii="Times New Roman" w:hAnsi="Times New Roman" w:hint="cs"/>
          <w:sz w:val="24"/>
          <w:szCs w:val="28"/>
          <w:rtl/>
          <w:lang w:bidi="fa-IR"/>
        </w:rPr>
        <w:t>، و ارزیابی بروزی را در حوزه کاربرد سیستم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جدید ایزوتوپ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غیرمتعارف ارائه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دهند. </w:t>
      </w:r>
    </w:p>
    <w:p w:rsidR="00667BDF" w:rsidRDefault="00667BDF">
      <w:pPr>
        <w:rPr>
          <w:rFonts w:hint="cs"/>
        </w:rPr>
      </w:pPr>
      <w:bookmarkStart w:id="0" w:name="_GoBack"/>
      <w:bookmarkEnd w:id="0"/>
    </w:p>
    <w:sectPr w:rsidR="00667BDF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F6" w:rsidRDefault="00212CF6" w:rsidP="00BC56BE">
      <w:pPr>
        <w:spacing w:after="0" w:line="240" w:lineRule="auto"/>
      </w:pPr>
      <w:r>
        <w:separator/>
      </w:r>
    </w:p>
  </w:endnote>
  <w:endnote w:type="continuationSeparator" w:id="0">
    <w:p w:rsidR="00212CF6" w:rsidRDefault="00212CF6" w:rsidP="00BC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3DC61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8C4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F6" w:rsidRDefault="00212CF6" w:rsidP="00BC56BE">
      <w:pPr>
        <w:spacing w:after="0" w:line="240" w:lineRule="auto"/>
      </w:pPr>
      <w:r>
        <w:separator/>
      </w:r>
    </w:p>
  </w:footnote>
  <w:footnote w:type="continuationSeparator" w:id="0">
    <w:p w:rsidR="00212CF6" w:rsidRDefault="00212CF6" w:rsidP="00BC56BE">
      <w:pPr>
        <w:spacing w:after="0" w:line="240" w:lineRule="auto"/>
      </w:pPr>
      <w:r>
        <w:continuationSeparator/>
      </w:r>
    </w:p>
  </w:footnote>
  <w:footnote w:id="1">
    <w:p w:rsidR="00BC56BE" w:rsidRDefault="00BC56BE" w:rsidP="00BC56BE">
      <w:pPr>
        <w:pStyle w:val="FootnoteText"/>
        <w:bidi/>
        <w:rPr>
          <w:rFonts w:ascii="Times New Roman" w:hAnsi="Times New Roman"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3DC61D" w:hAnsi="AdvP3DC61D" w:cs="AdvP3DC61D"/>
          <w:sz w:val="18"/>
          <w:szCs w:val="18"/>
          <w:lang w:bidi="fa-IR"/>
        </w:rPr>
        <w:t>Magmatic Sulfide</w:t>
      </w:r>
    </w:p>
  </w:footnote>
  <w:footnote w:id="2">
    <w:p w:rsidR="00BC56BE" w:rsidRDefault="00BC56BE" w:rsidP="00BC56BE">
      <w:pPr>
        <w:pStyle w:val="FootnoteText"/>
        <w:bidi/>
        <w:rPr>
          <w:rFonts w:ascii="Times New Roman" w:hAnsi="Times New Roman" w:cs="Times New Roman"/>
          <w:lang w:bidi="fa-IR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bidi="fa-IR"/>
        </w:rPr>
        <w:t>Platinum-Group Element (PGE)</w:t>
      </w:r>
    </w:p>
  </w:footnote>
  <w:footnote w:id="3">
    <w:p w:rsidR="00BC56BE" w:rsidRDefault="00BC56BE" w:rsidP="00BC56BE">
      <w:pPr>
        <w:pStyle w:val="FootnoteText"/>
        <w:bidi/>
        <w:rPr>
          <w:rFonts w:ascii="Times New Roman" w:hAnsi="Times New Roman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3DC61D" w:hAnsi="AdvP3DC61D" w:cs="AdvP3DC61D"/>
          <w:sz w:val="18"/>
          <w:szCs w:val="18"/>
          <w:lang w:bidi="fa-IR"/>
        </w:rPr>
        <w:t>Porphyry</w:t>
      </w:r>
    </w:p>
  </w:footnote>
  <w:footnote w:id="4">
    <w:p w:rsidR="00BC56BE" w:rsidRDefault="00BC56BE" w:rsidP="00BC56BE">
      <w:pPr>
        <w:pStyle w:val="FootnoteText"/>
        <w:bidi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3DC61D" w:hAnsi="AdvP3DC61D" w:cs="AdvP3DC61D"/>
          <w:sz w:val="18"/>
          <w:szCs w:val="18"/>
          <w:lang w:bidi="fa-IR"/>
        </w:rPr>
        <w:t>Skarn</w:t>
      </w:r>
    </w:p>
  </w:footnote>
  <w:footnote w:id="5">
    <w:p w:rsidR="00BC56BE" w:rsidRDefault="00BC56BE" w:rsidP="00BC56BE">
      <w:pPr>
        <w:pStyle w:val="FootnoteText"/>
        <w:bidi/>
        <w:rPr>
          <w:rFonts w:ascii="Times New Roman" w:hAnsi="Times New Roman"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3DC61D" w:hAnsi="AdvP3DC61D" w:cs="AdvP3DC61D"/>
          <w:sz w:val="18"/>
          <w:szCs w:val="18"/>
          <w:lang w:bidi="fa-IR"/>
        </w:rPr>
        <w:t>Epithermal</w:t>
      </w:r>
    </w:p>
  </w:footnote>
  <w:footnote w:id="6">
    <w:p w:rsidR="00BC56BE" w:rsidRDefault="00BC56BE" w:rsidP="00BC56BE">
      <w:pPr>
        <w:pStyle w:val="FootnoteText"/>
        <w:bidi/>
        <w:rPr>
          <w:rFonts w:ascii="Times New Roman" w:hAnsi="Times New Roman"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3DC61D" w:hAnsi="AdvP3DC61D" w:cs="AdvP3DC61D"/>
          <w:sz w:val="18"/>
          <w:szCs w:val="18"/>
          <w:lang w:bidi="fa-IR"/>
        </w:rPr>
        <w:t>Carlin</w:t>
      </w:r>
    </w:p>
  </w:footnote>
  <w:footnote w:id="7">
    <w:p w:rsidR="00BC56BE" w:rsidRDefault="00BC56BE" w:rsidP="00BC56BE">
      <w:pPr>
        <w:pStyle w:val="FootnoteText"/>
        <w:bidi/>
        <w:rPr>
          <w:rFonts w:ascii="Times New Roman" w:hAnsi="Times New Roman"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8C43" w:hAnsi="AdvP8C43" w:cs="AdvP8C43"/>
          <w:sz w:val="17"/>
          <w:szCs w:val="17"/>
          <w:lang w:bidi="fa-IR"/>
        </w:rPr>
        <w:t>Anbar and Rouxel (2007)</w:t>
      </w:r>
    </w:p>
  </w:footnote>
  <w:footnote w:id="8">
    <w:p w:rsidR="00BC56BE" w:rsidRDefault="00BC56BE" w:rsidP="00BC56BE">
      <w:pPr>
        <w:pStyle w:val="FootnoteText"/>
        <w:bidi/>
        <w:rPr>
          <w:rFonts w:ascii="Times New Roman" w:hAnsi="Times New Roman"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Times New Roman" w:hAnsi="Times New Roman"/>
          <w:lang w:bidi="fa-IR"/>
        </w:rPr>
        <w:t>Multi-collector inductively coupled plasma mass spectrometers</w:t>
      </w:r>
    </w:p>
  </w:footnote>
  <w:footnote w:id="9">
    <w:p w:rsidR="00BC56BE" w:rsidRDefault="00BC56BE" w:rsidP="00BC56BE">
      <w:pPr>
        <w:pStyle w:val="FootnoteText"/>
        <w:bidi/>
        <w:rPr>
          <w:rFonts w:ascii="Times New Roman" w:hAnsi="Times New Roman"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8C43" w:hAnsi="AdvP8C43" w:cs="AdvP8C43"/>
          <w:sz w:val="17"/>
          <w:szCs w:val="17"/>
          <w:lang w:bidi="fa-IR"/>
        </w:rPr>
        <w:t>(Albare`de et al., 2004)</w:t>
      </w:r>
    </w:p>
  </w:footnote>
  <w:footnote w:id="10">
    <w:p w:rsidR="00BC56BE" w:rsidRDefault="00BC56BE" w:rsidP="00BC56BE">
      <w:pPr>
        <w:pStyle w:val="FootnoteText"/>
        <w:bidi/>
        <w:rPr>
          <w:rFonts w:ascii="Times New Roman" w:hAnsi="Times New Roman"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AdvP8C43" w:hAnsi="AdvP8C43" w:cs="AdvP8C43"/>
          <w:sz w:val="17"/>
          <w:szCs w:val="17"/>
          <w:lang w:bidi="fa-IR"/>
        </w:rPr>
        <w:t>(Huston, 1999; Ohmoto, 1986; Ohmoto and Goldhaber, 1997; Seal, 2006 Shanks, 2001; Slack and Trumbull, 2011; Taylor, 1997;Tomascak, 2004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6"/>
    <w:rsid w:val="00212CF6"/>
    <w:rsid w:val="004636BC"/>
    <w:rsid w:val="004D61C3"/>
    <w:rsid w:val="00667BDF"/>
    <w:rsid w:val="006E683F"/>
    <w:rsid w:val="00892DB3"/>
    <w:rsid w:val="00910CB6"/>
    <w:rsid w:val="009C110A"/>
    <w:rsid w:val="009C4DC6"/>
    <w:rsid w:val="00A92142"/>
    <w:rsid w:val="00B8564A"/>
    <w:rsid w:val="00BC56BE"/>
    <w:rsid w:val="00EF3BAD"/>
    <w:rsid w:val="00F60241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E6EA6F-E23B-4561-A111-74194B9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BE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64A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  <w:lang w:bidi="fa-I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8564A"/>
    <w:pPr>
      <w:jc w:val="both"/>
      <w:outlineLvl w:val="1"/>
    </w:pPr>
    <w:rPr>
      <w:rFonts w:cstheme="majorHAnsi"/>
      <w:b/>
      <w:bCs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8564A"/>
    <w:pPr>
      <w:jc w:val="both"/>
      <w:outlineLvl w:val="2"/>
    </w:pPr>
    <w:rPr>
      <w:rFonts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n">
    <w:name w:val="Captionn"/>
    <w:basedOn w:val="Subtitle"/>
    <w:link w:val="CaptionnChar"/>
    <w:qFormat/>
    <w:rsid w:val="00B8564A"/>
  </w:style>
  <w:style w:type="character" w:customStyle="1" w:styleId="CaptionnChar">
    <w:name w:val="Captionn Char"/>
    <w:basedOn w:val="SubtitleChar"/>
    <w:link w:val="Captionn"/>
    <w:rsid w:val="00B8564A"/>
    <w:rPr>
      <w:rFonts w:ascii="Times New Roman" w:hAnsi="Times New Roman" w:cs="B Nazanin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4A"/>
    <w:pPr>
      <w:bidi/>
      <w:spacing w:after="0" w:line="259" w:lineRule="auto"/>
      <w:jc w:val="center"/>
    </w:pPr>
    <w:rPr>
      <w:rFonts w:ascii="Times New Roman" w:hAnsi="Times New Roman" w:cs="B Nazanin"/>
      <w:b/>
      <w:bCs/>
      <w:sz w:val="24"/>
      <w:szCs w:val="24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B8564A"/>
    <w:rPr>
      <w:rFonts w:ascii="Times New Roman" w:hAnsi="Times New Roman"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64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8564A"/>
    <w:rPr>
      <w:rFonts w:cstheme="majorHAnsi"/>
      <w:b/>
      <w:bCs/>
      <w:sz w:val="32"/>
      <w:szCs w:val="32"/>
    </w:rPr>
  </w:style>
  <w:style w:type="paragraph" w:styleId="NoSpacing">
    <w:name w:val="No Spacing"/>
    <w:uiPriority w:val="1"/>
    <w:qFormat/>
    <w:rsid w:val="00B8564A"/>
    <w:pPr>
      <w:bidi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8564A"/>
    <w:rPr>
      <w:rFonts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56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B8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8564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6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6BE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C5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 nazanin"/>
        <a:ea typeface=""/>
        <a:cs typeface="B nazanin"/>
      </a:majorFont>
      <a:minorFont>
        <a:latin typeface="B nazani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2</cp:revision>
  <dcterms:created xsi:type="dcterms:W3CDTF">2022-02-11T09:48:00Z</dcterms:created>
  <dcterms:modified xsi:type="dcterms:W3CDTF">2022-02-11T09:48:00Z</dcterms:modified>
</cp:coreProperties>
</file>